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Integrative Clinical Trial Framework: Ayurveda in Stroke Rehabilitation</w:t>
      </w:r>
    </w:p>
    <w:p>
      <w:pPr>
        <w:pStyle w:val="Heading1"/>
      </w:pPr>
      <w:r>
        <w:t>1. Objective</w:t>
      </w:r>
    </w:p>
    <w:p>
      <w:r>
        <w:t>To assess the efficacy and safety of an integrative protocol combining Ayurvedic therapies and modern stroke rehabilitation in improving functional, neurological, and quality-of-life outcomes in post-stroke patients.</w:t>
      </w:r>
    </w:p>
    <w:p>
      <w:pPr>
        <w:pStyle w:val="Heading1"/>
      </w:pPr>
      <w:r>
        <w:t>2. Trial Design</w:t>
      </w:r>
    </w:p>
    <w:p>
      <w:pPr>
        <w:pStyle w:val="ListBullet"/>
      </w:pPr>
      <w:r>
        <w:t>Design Type: Multicenter, randomized, controlled, assessor-blinded</w:t>
      </w:r>
    </w:p>
    <w:p>
      <w:pPr>
        <w:pStyle w:val="ListBullet"/>
      </w:pPr>
      <w:r>
        <w:t>Arms: (a) Modern standard rehab (physiotherapy, occupational therapy)</w:t>
        <w:br/>
        <w:t>(b) Ayurveda rehab (Panchakarma + internal meds)</w:t>
        <w:br/>
        <w:t>(c) Integrative (Modern + Ayurveda)</w:t>
      </w:r>
    </w:p>
    <w:p>
      <w:pPr>
        <w:pStyle w:val="ListBullet"/>
      </w:pPr>
      <w:r>
        <w:t>Sample Size: Minimum 120 patients (40 per arm), powered for mRS/FMA</w:t>
      </w:r>
    </w:p>
    <w:p>
      <w:pPr>
        <w:pStyle w:val="ListBullet"/>
      </w:pPr>
      <w:r>
        <w:t>Duration: 3 months intervention + 3 months follow-up</w:t>
      </w:r>
    </w:p>
    <w:p>
      <w:pPr>
        <w:pStyle w:val="ListBullet"/>
      </w:pPr>
      <w:r>
        <w:t>Stroke Type: Ischemic stroke, stable vitals, 2–6 weeks post-incident</w:t>
      </w:r>
    </w:p>
    <w:p>
      <w:pPr>
        <w:pStyle w:val="ListBullet"/>
      </w:pPr>
      <w:r>
        <w:t>Setting: Inpatient/Daycare Ayurvedic hospital with neurology support</w:t>
      </w:r>
    </w:p>
    <w:p>
      <w:pPr>
        <w:pStyle w:val="Heading1"/>
      </w:pPr>
      <w:r>
        <w:t>3. Ayurveda Protocol Suggestions</w:t>
      </w:r>
    </w:p>
    <w:p>
      <w:r>
        <w:t>• Panchakarma: Abhyanga + Swedana, Basti (as per dosha type), Nasya (in chronic cases)</w:t>
        <w:br/>
        <w:t>• Internal Medications: Ashwagandha, Brahmi, Rasna, Masha, Dashmool-based kashayas (tailored to prakriti, roga bala, kala)</w:t>
        <w:br/>
        <w:t>• Diet: Peya, Yusha, Rasona (Garlic), Manda, medicated ghee</w:t>
        <w:br/>
        <w:t>• Yoga &amp; Pranayama: Specific postures for hemiplegia (under supervision)</w:t>
        <w:br/>
        <w:t>• Customizations: Vata-kaphaja pakshaghata protocols (ref. Charaka &amp; CCRAS guidelines)</w:t>
      </w:r>
    </w:p>
    <w:p>
      <w:pPr>
        <w:pStyle w:val="Heading1"/>
      </w:pPr>
      <w:r>
        <w:t>4. Modern Medicine Protocol (Comparator)</w:t>
      </w:r>
    </w:p>
    <w:p>
      <w:r>
        <w:t>• Physical Therapy: Neuro-muscular re-education, balance/gait training</w:t>
        <w:br/>
        <w:t>• Occupational Therapy: ADLs, cognitive retraining</w:t>
        <w:br/>
        <w:t>• Speech Therapy: For dysarthria/aphasia cases</w:t>
        <w:br/>
        <w:t>• Medication: Anti-platelet + Anti-hypertensive (as per neurologist)</w:t>
      </w:r>
    </w:p>
    <w:p>
      <w:pPr>
        <w:pStyle w:val="Heading1"/>
      </w:pPr>
      <w:r>
        <w:t>5. Primary Outcome Measures</w:t>
      </w:r>
    </w:p>
    <w:p>
      <w:pPr>
        <w:pStyle w:val="ListBullet"/>
      </w:pPr>
      <w:r>
        <w:t>Motor Function: Fugl-Meyer Assessment (FMA)</w:t>
      </w:r>
    </w:p>
    <w:p>
      <w:pPr>
        <w:pStyle w:val="ListBullet"/>
      </w:pPr>
      <w:r>
        <w:t>Activities of Daily Living: Barthel Index</w:t>
      </w:r>
    </w:p>
    <w:p>
      <w:pPr>
        <w:pStyle w:val="ListBullet"/>
      </w:pPr>
      <w:r>
        <w:t>Disability: Modified Rankin Scale (mRS)</w:t>
      </w:r>
    </w:p>
    <w:p>
      <w:pPr>
        <w:pStyle w:val="ListBullet"/>
      </w:pPr>
      <w:r>
        <w:t>Balance &amp; Mobility: Berg Balance Scale</w:t>
      </w:r>
    </w:p>
    <w:p>
      <w:pPr>
        <w:pStyle w:val="Heading1"/>
      </w:pPr>
      <w:r>
        <w:t>6. Secondary Outcome Measures</w:t>
      </w:r>
    </w:p>
    <w:p>
      <w:pPr>
        <w:pStyle w:val="ListBullet"/>
      </w:pPr>
      <w:r>
        <w:t>Quality of Life: SF-36 or WHOQOL-BREF</w:t>
      </w:r>
    </w:p>
    <w:p>
      <w:pPr>
        <w:pStyle w:val="ListBullet"/>
      </w:pPr>
      <w:r>
        <w:t>Cognitive Recovery: MMSE or MoCA</w:t>
      </w:r>
    </w:p>
    <w:p>
      <w:pPr>
        <w:pStyle w:val="ListBullet"/>
      </w:pPr>
      <w:r>
        <w:t>Mental Health: Beck Depression Inventory, HAM-A</w:t>
      </w:r>
    </w:p>
    <w:p>
      <w:pPr>
        <w:pStyle w:val="ListBullet"/>
      </w:pPr>
      <w:r>
        <w:t>Neurological Score: NIH Stroke Scale (NIHSS)</w:t>
      </w:r>
    </w:p>
    <w:p>
      <w:pPr>
        <w:pStyle w:val="ListBullet"/>
      </w:pPr>
      <w:r>
        <w:t>Ayurvedic Parameters: Dosha Prakriti, Agni bala, Ojas bala scales (standardized)</w:t>
      </w:r>
    </w:p>
    <w:p>
      <w:pPr>
        <w:pStyle w:val="Heading1"/>
      </w:pPr>
      <w:r>
        <w:t>7. Safety &amp; Monitoring</w:t>
      </w:r>
    </w:p>
    <w:p>
      <w:r>
        <w:t>• BP, pulse, weight</w:t>
        <w:br/>
        <w:t>• LFT/KFT pre-post</w:t>
        <w:br/>
        <w:t>• AE tracking (GI symptoms, fatigue, allergic reactions)</w:t>
      </w:r>
    </w:p>
    <w:p>
      <w:pPr>
        <w:pStyle w:val="Heading1"/>
      </w:pPr>
      <w:r>
        <w:t>8. Statistical Analysis Plan</w:t>
      </w:r>
    </w:p>
    <w:p>
      <w:r>
        <w:t>• Primary: ANOVA/ANCOVA with post-hoc tests</w:t>
        <w:br/>
        <w:t>• Repeated Measures: Mixed model/GLM</w:t>
        <w:br/>
        <w:t>• Responder Analysis: % achieving mRS ≤2 or Barthel &gt;70</w:t>
        <w:br/>
        <w:t>• P-value Threshold: 0.05</w:t>
        <w:br/>
        <w:t>• ITT + sensitivity checks</w:t>
      </w:r>
    </w:p>
    <w:p>
      <w:pPr>
        <w:pStyle w:val="Heading1"/>
      </w:pPr>
      <w:r>
        <w:t>9. Ethics &amp; Regulatory</w:t>
      </w:r>
    </w:p>
    <w:p>
      <w:r>
        <w:t>• CTRI/AYUSH registration</w:t>
        <w:br/>
        <w:t>• IEC approvals</w:t>
        <w:br/>
        <w:t>• Consent (local language)</w:t>
        <w:br/>
        <w:t>• Independent DSMB review</w:t>
      </w:r>
    </w:p>
    <w:p>
      <w:pPr>
        <w:pStyle w:val="Heading1"/>
      </w:pPr>
      <w:r>
        <w:t>10. Research Outputs</w:t>
      </w:r>
    </w:p>
    <w:p>
      <w:r>
        <w:t>• Publications (J Ethnopharmacology, Frontiers Neurology, IJAR)</w:t>
        <w:br/>
        <w:t>• Policy Reports (AYUSH, CCRAS)</w:t>
        <w:br/>
        <w:t>• Training Modules (for CME)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